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Service of process</w:t>
      </w:r>
    </w:p>
    <w:p>
      <w:pPr>
        <w:jc w:val="both"/>
        <w:spacing w:before="100" w:after="100"/>
        <w:ind w:start="360"/>
        <w:ind w:firstLine="360"/>
      </w:pPr>
      <w:r>
        <w:rPr/>
      </w:r>
      <w:r>
        <w:rPr/>
      </w:r>
      <w:r>
        <w:t xml:space="preserve">A foreign bank having a Maine agency, Maine branch or Maine representative office shall maintain a registered office and is subject to service of process in the manner provided for in </w:t>
      </w:r>
      <w:r>
        <w:t>Title 13‑C,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RR 2001, c. 2, §B21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§1317.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