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Change of control of foreign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Change of control of foreign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§1322. CHANGE OF CONTROL OF FOREIGN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