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Reports and other information from supervised institutions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In addition to the reports required pursuant to this section, the superintendent may require, from a financial institution organized under the laws of this State and from an out-of-state financial institution authorized to do business in this State, reports and other information from those institutions at those times and in such form as the superintendent considers appropriate for the proper supervision and regulation of those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100"/>
        <w:ind w:start="360"/>
        <w:ind w:firstLine="360"/>
      </w:pPr>
      <w:r>
        <w:rPr>
          <w:b/>
        </w:rPr>
        <w:t>2</w:t>
        <w:t xml:space="preserve">.  </w:t>
      </w:r>
      <w:r>
        <w:rPr>
          <w:b/>
        </w:rPr>
        <w:t xml:space="preserve">Designation of chief executive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§2 (RP).]</w:t>
      </w:r>
    </w:p>
    <w:p>
      <w:pPr>
        <w:jc w:val="both"/>
        <w:spacing w:before="100" w:after="100"/>
        <w:ind w:start="360"/>
        <w:ind w:firstLine="360"/>
      </w:pPr>
      <w:r>
        <w:rPr>
          <w:b/>
        </w:rPr>
        <w:t>3</w:t>
        <w:t xml:space="preserve">.  </w:t>
      </w:r>
      <w:r>
        <w:rPr>
          <w:b/>
        </w:rPr>
        <w:t xml:space="preserve">Condition and income reports.</w:t>
        <w:t xml:space="preserve"> </w:t>
      </w:r>
      <w:r>
        <w:t xml:space="preserve"> </w:t>
      </w:r>
      <w:r>
        <w:t xml:space="preserve">Every financial institution subject to this Title shall make quarterly, or at such times as the superintendent may direct, a report of condition and income to the superintendent.  The report must be in such form and contain such information as the superintendent considers appropriate for the proper supervision and regulation of such financial institutions.</w:t>
      </w:r>
    </w:p>
    <w:p>
      <w:pPr>
        <w:jc w:val="both"/>
        <w:spacing w:before="100" w:after="0"/>
        <w:ind w:start="360"/>
      </w:pPr>
      <w:r>
        <w:rPr/>
      </w:r>
      <w:r>
        <w:rPr/>
      </w:r>
      <w:r>
        <w:t xml:space="preserve">The report must contain a declaration that the report is true and correct and must be signed by an officer authorized to do so by the board of directors of the financial institution.  The financial institution shall retain a copy of the report that is filed with the bureau, including the original signed declaration, and shall make it available to the bureau upon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§2 (RPR).]</w:t>
      </w:r>
    </w:p>
    <w:p>
      <w:pPr>
        <w:jc w:val="both"/>
        <w:spacing w:before="100" w:after="0"/>
        <w:ind w:start="360"/>
        <w:ind w:firstLine="360"/>
      </w:pPr>
      <w:r>
        <w:rPr>
          <w:b/>
        </w:rPr>
        <w:t>4</w:t>
        <w:t xml:space="preserve">.  </w:t>
      </w:r>
      <w:r>
        <w:rPr>
          <w:b/>
        </w:rPr>
        <w:t xml:space="preserve">Use of reports prepared for other state or federal regulatory agencies.</w:t>
        <w:t xml:space="preserve"> </w:t>
      </w:r>
      <w:r>
        <w:t xml:space="preserve"> </w:t>
      </w:r>
      <w:r>
        <w:t xml:space="preserve">At the discretion of the superintendent, the reporting requirements of this section may be complied with by submitting to the superintendent copies of reports prepared for other state or federal regulatory agencies by the institution that contain the information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0"/>
        <w:ind w:start="360"/>
        <w:ind w:firstLine="360"/>
      </w:pPr>
      <w:r>
        <w:rPr>
          <w:b/>
        </w:rPr>
        <w:t>5</w:t>
        <w:t xml:space="preserve">.  </w:t>
      </w:r>
      <w:r>
        <w:rPr>
          <w:b/>
        </w:rPr>
        <w:t xml:space="preserve">Penalties.</w:t>
        <w:t xml:space="preserve"> </w:t>
      </w:r>
      <w:r>
        <w:t xml:space="preserve"> </w:t>
      </w:r>
      <w:r>
        <w:t xml:space="preserve">Any financial institution which shall fail to furnish reports and information required pursuant to this section, within the time specified, shall be subject to a penalty of not more than $100 for each day it is in violation of this section, which penalty may be recovered in a civil action brought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1995, c. 628, §12 (AMD). PL 1997, c. 398, §K2 (AMD). PL 2001, c. 211, §7 (AMD). PL 2009, c. 228,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Reports and other information from supervised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Reports and other information from supervised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§222. REPORTS AND OTHER INFORMATION FROM SUPERVISED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