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Enforcement by Superior Court</w:t>
      </w:r>
    </w:p>
    <w:p>
      <w:pPr>
        <w:jc w:val="both"/>
        <w:spacing w:before="100" w:after="100"/>
        <w:ind w:start="360"/>
        <w:ind w:firstLine="360"/>
      </w:pPr>
      <w:r>
        <w:rPr/>
      </w:r>
      <w:r>
        <w:rPr/>
      </w:r>
      <w:r>
        <w:t xml:space="preserve">Orders issued by the superintendent pursuant to </w:t>
      </w:r>
      <w:r>
        <w:t>sections 231</w:t>
      </w:r>
      <w:r>
        <w:t xml:space="preserve"> and </w:t>
      </w:r>
      <w:r>
        <w:t>232</w:t>
      </w:r>
      <w:r>
        <w:t xml:space="preserve"> shall be enforced by the Superior Court,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Appeal of order.</w:t>
        <w:t xml:space="preserve"> </w:t>
      </w:r>
      <w:r>
        <w:t xml:space="preserve"> </w:t>
      </w:r>
      <w:r>
        <w:t xml:space="preserve">Any person aggrieved and directly affected by an order of the superintendent issued pursuant to </w:t>
      </w:r>
      <w:r>
        <w:t>sections 231</w:t>
      </w:r>
      <w:r>
        <w:t xml:space="preserve"> and </w:t>
      </w:r>
      <w:r>
        <w:t>232</w:t>
      </w:r>
      <w:r>
        <w:t xml:space="preserve"> shall be entitled to judicial review of the order pursuant to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§157 (RPR).]</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No person shall be subjected to any civil or criminal liability for any act or omission to act in good faith in reliance upon a subsisting order, regulation or definition of the superintendent, notwithstanding a subsequent decision by any court invalidating the order, regulation or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 Enforcement by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Enforcement by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§233. ENFORCEMENT BY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