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Hearings on petition of 25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Hearings on petition of 25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§255. HEARINGS ON PETITION OF 25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