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§325. CORPORATORS AND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