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Applicability of chapter; statewide branching</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the establishment of a branch office or agency by a financial institution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(AMD).]</w:t>
      </w:r>
    </w:p>
    <w:p>
      <w:pPr>
        <w:jc w:val="both"/>
        <w:spacing w:before="100" w:after="0"/>
        <w:ind w:start="360"/>
        <w:ind w:firstLine="360"/>
      </w:pPr>
      <w:r>
        <w:rPr>
          <w:b/>
        </w:rPr>
        <w:t>2</w:t>
        <w:t xml:space="preserve">.  </w:t>
      </w:r>
      <w:r>
        <w:rPr>
          <w:b/>
        </w:rPr>
        <w:t xml:space="preserve">Statewide branching.</w:t>
        <w:t xml:space="preserve"> </w:t>
      </w:r>
      <w:r>
        <w:t xml:space="preserve"> </w:t>
      </w:r>
      <w:r>
        <w:t xml:space="preserve">Subject to the conditions and limitations contained in this chapter, a financial institution may establish a branch anywhere within this State, except that a financial institution may not establish a branch within 1.5 miles of any location of an affiliate where the affiliate engages in commercial activity and may not conduct any commercial activity at any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§E1 (AMD). PL 2007, c. 69,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 Applicability of chapter; statewide branching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Applicability of chapter; statewide branching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§331. APPLICABILITY OF CHAPTER; STATEWIDE BRANCHING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