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Conversion of institutional charter</w:t>
      </w:r>
    </w:p>
    <w:p>
      <w:pPr>
        <w:jc w:val="both"/>
        <w:spacing w:before="100" w:after="100"/>
        <w:ind w:start="360"/>
        <w:ind w:firstLine="360"/>
      </w:pPr>
      <w:r>
        <w:rPr/>
      </w:r>
      <w:r>
        <w:rPr/>
      </w:r>
      <w:r>
        <w:t xml:space="preserve">A financial institution organized under </w:t>
      </w:r>
      <w:r>
        <w:t>Part 12</w:t>
      </w:r>
      <w:r>
        <w:t xml:space="preserve"> may convert its charter to do business as another institution organized under </w:t>
      </w:r>
      <w:r>
        <w:t>Part 12</w:t>
      </w:r>
      <w:r>
        <w:t xml:space="preserve"> or as a universal bank, and a universal bank organized under </w:t>
      </w:r>
      <w:r>
        <w:t>chapter 31</w:t>
      </w:r>
      <w:r>
        <w:t xml:space="preserve"> may convert to a financial institution organized under </w:t>
      </w:r>
      <w:r>
        <w:t>Part 12</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institution's governing body shall adopt by a 2/3 vote of all members a conversion plan that must include:</w:t>
      </w:r>
    </w:p>
    <w:p>
      <w:pPr>
        <w:jc w:val="both"/>
        <w:spacing w:before="100" w:after="0"/>
        <w:ind w:start="720"/>
      </w:pPr>
      <w:r>
        <w:rPr/>
        <w:t>A</w:t>
        <w:t xml:space="preserve">.  </w:t>
      </w:r>
      <w:r>
        <w:rPr/>
      </w:r>
      <w:r>
        <w:t xml:space="preserve">The name of the institution and its location;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type of the institution that resulting institution is to be;</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A method and schedule for terminating any nonconforming activities that would result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D</w:t>
        <w:t xml:space="preserve">.  </w:t>
      </w:r>
      <w:r>
        <w:rPr/>
      </w:r>
      <w:r>
        <w:t xml:space="preserve">A statement of the competitive impact resulting from such conversion, including the loss of particular financial services in the market area resulting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E</w:t>
        <w:t xml:space="preserve">.  </w:t>
      </w:r>
      <w:r>
        <w:rPr/>
      </w:r>
      <w:r>
        <w:t xml:space="preserve">A statement that the conversion is subject to approval of the superintendent and the institution's investors; and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F</w:t>
        <w:t xml:space="preserve">.  </w:t>
      </w:r>
      <w:r>
        <w:rPr/>
      </w:r>
      <w:r>
        <w:t xml:space="preserve">Such additional information as the superintendent may require, pursuant to regulations or otherwise.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The superintendent shall approve a conversion plan in accordance with </w:t>
      </w:r>
      <w:r>
        <w:t>section 341,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3</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pursuant to the requirements of </w:t>
      </w:r>
      <w:r>
        <w:t>section 352, subsection 3</w:t>
      </w:r>
      <w:r>
        <w:t xml:space="preserve">.  Approval requires a majority vote or higher if required by the institution's organizational documents of those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4</w:t>
        <w:t xml:space="preserve">.  </w:t>
      </w:r>
      <w:r>
        <w:rPr>
          <w:b/>
        </w:rPr>
        <w:t xml:space="preserve">Executed plan; certificate; and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of the institution, the institution shall submit the executed conversion plan to the superintendent, together with all necessary amendments to the institution's organizational documents, each certified by an executive officer, clerk or secretary.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B</w:t>
        <w:t xml:space="preserve">.  </w:t>
      </w:r>
      <w:r>
        <w:rPr/>
      </w:r>
      <w:r>
        <w:t xml:space="preserve">The superintendent shall file one copy of the items set forth in </w:t>
      </w:r>
      <w:r>
        <w:t>paragraph A</w:t>
      </w:r>
      <w:r>
        <w:t xml:space="preserve"> with the Secretary of State for record and issue to the resulting institution a certificate specifying the name of the converting institution and the name and organizational structure of the resulting institution. This certificate is conclusive evidence of the conversion and of the correctness of all proceedings relating to the conversion in all courts and places. The certificate may be filed in any office for the recording of deeds to evidence the new name in which property of the converting institution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Unless a later date is specified in the conversion plan, the action becomes effective upon the issuance of the certificate in </w:t>
      </w:r>
      <w:r>
        <w:t>paragraph B</w:t>
      </w:r>
      <w:r>
        <w:t xml:space="preserve">, and the former charter of the converting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155, §2 (AMD). PL 1991, c. 670, §4 (AMD). PL 1997, c. 398, §F3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 Conversion of institutional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Conversion of institutional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§343. CONVERSION OF INSTITUTIONAL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