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w:t>
        <w:t xml:space="preserve">.  </w:t>
      </w:r>
      <w:r>
        <w:rPr>
          <w:b/>
        </w:rPr>
        <w:t xml:space="preserve">Effect of conversion or amendment; nonconforming activities</w:t>
      </w:r>
    </w:p>
    <w:p>
      <w:pPr>
        <w:jc w:val="both"/>
        <w:spacing w:before="100" w:after="100"/>
        <w:ind w:start="360"/>
        <w:ind w:firstLine="360"/>
      </w:pPr>
      <w:r>
        <w:rPr/>
      </w:r>
      <w:r>
        <w:rPr/>
      </w:r>
      <w:r>
        <w:t xml:space="preserve">The financial institution resulting from any action taken pursuant to the authority granted in this chapter is subject to the provisions of </w:t>
      </w:r>
      <w:r>
        <w:t>sections 357</w:t>
      </w:r>
      <w:r>
        <w:t xml:space="preserve"> and </w:t>
      </w:r>
      <w:r>
        <w:t>358</w:t>
      </w:r>
      <w:r>
        <w:t xml:space="preserve"> and shall comply with the requirements of these sections and rules adopted under these sections.</w:t>
      </w:r>
      <w:r>
        <w:t xml:space="preserve">  </w:t>
      </w:r>
      <w:r xmlns:wp="http://schemas.openxmlformats.org/drawingml/2010/wordprocessingDrawing" xmlns:w15="http://schemas.microsoft.com/office/word/2012/wordml">
        <w:rPr>
          <w:rFonts w:ascii="Arial" w:hAnsi="Arial" w:cs="Arial"/>
          <w:sz w:val="22"/>
          <w:szCs w:val="22"/>
        </w:rPr>
        <w:t xml:space="preserve">[PL 1997, c. 398, Pt. F,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§F9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 Effect of conversion or amendment; nonconforming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 Effect of conversion or amendment; nonconforming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§347. EFFECT OF CONVERSION OR AMENDMENT; NONCONFORMING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