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Mergers and consolidations;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§353. MERGERS AND CONSOLIDATIONS;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