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Effect of merger, consolidation, conversion or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Effect of merger, consolidation, conversion or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§357. EFFECT OF MERGER, CONSOLIDATION, CONVERSION OR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