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de novo establishment of interstate branches, interstate combinations and interstate branch acquisitions undertaken by a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Fees.</w:t>
        <w:t xml:space="preserve"> </w:t>
      </w:r>
      <w:r>
        <w:t xml:space="preserve"> </w:t>
      </w:r>
      <w:r>
        <w:t xml:space="preserve">An application or notice required under this chapter is not complete unless accompanied by a fee payable to the Treasurer of State to be credited and used as provided in </w:t>
      </w:r>
      <w:r>
        <w:t>section 214</w:t>
      </w:r>
      <w:r>
        <w:t xml:space="preserve">.  The superintendent shall establish the amount of the fee according to the requirements of </w:t>
      </w:r>
      <w:r>
        <w:t>section 373</w:t>
      </w:r>
      <w:r>
        <w:t xml:space="preserve">; the fee may not exceed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 Applicability of chapter;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Applicability of chapter;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§371. APPLICABILITY OF CHAPTER;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