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Corporate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Corporate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§377. CORPORATE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