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w:t>
        <w:t xml:space="preserve">.  </w:t>
      </w:r>
      <w:r>
        <w:rPr>
          <w:b/>
        </w:rPr>
        <w:t xml:space="preserve">Equity interest in Maine financial institutions</w:t>
      </w:r>
    </w:p>
    <w:p>
      <w:pPr>
        <w:jc w:val="both"/>
        <w:spacing w:before="100" w:after="100"/>
        <w:ind w:start="360"/>
        <w:ind w:firstLine="360"/>
      </w:pPr>
      <w:r>
        <w:rPr/>
      </w:r>
      <w:r>
        <w:rPr/>
      </w:r>
      <w:r>
        <w:t xml:space="preserve">A financial institution authorized to do business in this State may acquire more than 5% of the equity interest of any other financial institution authorized to do business in this State or of a Maine financial institution holding company with the prior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I,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 §1 (NEW). PL 1983, c. 597, §1 (AMD). PL 1997, c. 398, §I9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 Equity interest in Maine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 Equity interest in Maine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§417. EQUITY INTEREST IN MAINE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