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Acting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Acting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§418. ACTING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