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Applicability of chapter;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Applicability of chapter;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§421. APPLICABILITY OF CHAPTER;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