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Applicability of chapter</w:t>
      </w:r>
    </w:p>
    <w:p>
      <w:pPr>
        <w:jc w:val="both"/>
        <w:spacing w:before="100" w:after="100"/>
        <w:ind w:start="360"/>
        <w:ind w:firstLine="360"/>
      </w:pPr>
      <w:r>
        <w:rPr/>
      </w:r>
      <w:r>
        <w:rPr/>
      </w:r>
      <w:r>
        <w:t xml:space="preserve">The provisions of this chapter setting forth acts and practices that are prohibited apply to all financial institutions, universal banks, limited purpose banks, credit unions and financial institution holding companies subject to the laws of this State and are in addition to the prohibitions in this Title.</w:t>
      </w:r>
      <w:r>
        <w:t xml:space="preserve">  </w:t>
      </w:r>
      <w:r xmlns:wp="http://schemas.openxmlformats.org/drawingml/2010/wordprocessingDrawing" xmlns:w15="http://schemas.microsoft.com/office/word/2012/wordml">
        <w:rPr>
          <w:rFonts w:ascii="Arial" w:hAnsi="Arial" w:cs="Arial"/>
          <w:sz w:val="22"/>
          <w:szCs w:val="22"/>
        </w:rPr>
        <w:t xml:space="preserve">[PL 1999, c. 546,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218, §24 (AMD). PL 1999, c. 546,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