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Community development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Community development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§817. COMMUNITY DEVELOPMENT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