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jc w:val="both"/>
        <w:spacing w:before="100" w:after="100"/>
        <w:ind w:start="1080" w:hanging="720"/>
      </w:pPr>
      <w:r>
        <w:rPr>
          <w:b/>
        </w:rPr>
        <w:t>§</w:t>
        <w:t>3002</w:t>
        <w:t xml:space="preserve">.  </w:t>
      </w:r>
      <w:r>
        <w:rPr>
          <w:b/>
        </w:rPr>
        <w:t xml:space="preserve">Evasions; agents of nonresident borrowers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§2 (AMD). PL 1973, c. 762, §2 (RP). </w:t>
      </w:r>
    </w:p>
    <w:p>
      <w:pPr>
        <w:jc w:val="both"/>
        <w:spacing w:before="100" w:after="100"/>
        <w:ind w:start="1080" w:hanging="720"/>
      </w:pPr>
      <w:r>
        <w:rPr>
          <w:b/>
        </w:rPr>
        <w:t>§</w:t>
        <w:t>3003</w:t>
        <w:t xml:space="preserve">.  </w:t>
      </w:r>
      <w:r>
        <w:rPr>
          <w:b/>
        </w:rPr>
        <w:t xml:space="preserve">Name; place of business;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§1 (AMD). PL 1973, c. 762, §2 (RP). </w:t>
      </w:r>
    </w:p>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