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373</w:t>
      </w:r>
    </w:p>
    <w:p>
      <w:pPr>
        <w:jc w:val="center"/>
        <w:ind w:start="360"/>
        <w:spacing w:before="300" w:after="300"/>
      </w:pPr>
      <w:r>
        <w:rPr>
          <w:b/>
        </w:rPr>
        <w:t xml:space="preserve">THE INSURANCE PREMIUM FINANCE COMPANY ACT</w:t>
      </w:r>
    </w:p>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4006</w:t>
        <w:t xml:space="preserve">.  </w:t>
      </w:r>
      <w:r>
        <w:rPr>
          <w:b/>
        </w:rPr>
        <w:t xml:space="preserve">Action by commissioner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4009</w:t>
        <w:t xml:space="preserve">.  </w:t>
      </w:r>
      <w:r>
        <w:rPr>
          <w:b/>
        </w:rPr>
        <w:t xml:space="preserve">Commissioner's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4011</w:t>
        <w:t xml:space="preserve">.  </w:t>
      </w:r>
      <w:r>
        <w:rPr>
          <w:b/>
        </w:rPr>
        <w:t xml:space="preserve">Rule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4015</w:t>
        <w:t xml:space="preserve">.  </w:t>
      </w:r>
      <w:r>
        <w:rPr>
          <w:b/>
        </w:rPr>
        <w:t xml:space="preserve">Applicability of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4016</w:t>
        <w:t xml:space="preserve">.  </w:t>
      </w:r>
      <w:r>
        <w:rPr>
          <w:b/>
        </w:rPr>
        <w:t xml:space="preserve">Credit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4017</w:t>
        <w:t xml:space="preserve">.  </w:t>
      </w:r>
      <w:r>
        <w:rPr>
          <w:b/>
        </w:rPr>
        <w:t xml:space="preserve">Delinquency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4018</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4019</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4020</w:t>
        <w:t xml:space="preserve">.  </w:t>
      </w:r>
      <w:r>
        <w:rPr>
          <w:b/>
        </w:rPr>
        <w:t xml:space="preserve">Cancellation of insurance contract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4021</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373. THE INSURANCE PREMIUM FINANCE COMPANY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373. THE INSURANCE PREMIUM FINANCE COMPANY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373. THE INSURANCE PREMIUM FINANCE COMPANY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