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622</w:t>
        <w:t xml:space="preserve">.  </w:t>
      </w:r>
      <w:r>
        <w:rPr>
          <w:b/>
        </w:rPr>
        <w:t xml:space="preserve">United States and instrumentalities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624</w:t>
        <w:t xml:space="preserve">.  </w:t>
      </w:r>
      <w:r>
        <w:rPr>
          <w:b/>
        </w:rPr>
        <w:t xml:space="preserve">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625</w:t>
        <w:t xml:space="preserve">.  </w:t>
      </w:r>
      <w:r>
        <w:rPr>
          <w:b/>
        </w:rPr>
        <w:t xml:space="preserve">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626</w:t>
        <w:t xml:space="preserve">.  </w:t>
      </w:r>
      <w:r>
        <w:rPr>
          <w:b/>
        </w:rPr>
        <w:t xml:space="preserve">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627</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628</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629</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630</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631</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632</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634</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635</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52.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