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951</w:t>
        <w:t xml:space="preserve">.  </w:t>
      </w:r>
      <w:r>
        <w:rPr>
          <w:b/>
        </w:rPr>
        <w:t xml:space="preserve">Authority of commissioner; 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952</w:t>
        <w:t xml:space="preserve">.  </w:t>
      </w:r>
      <w:r>
        <w:rPr>
          <w:b/>
        </w:rPr>
        <w:t xml:space="preserve">Application of charter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953</w:t>
        <w:t xml:space="preserve">.  </w:t>
      </w:r>
      <w:r>
        <w:rPr>
          <w:b/>
        </w:rPr>
        <w:t xml:space="preserve">Application of laws affecting trust companies; use of word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954</w:t>
        <w:t xml:space="preserve">.  </w:t>
      </w:r>
      <w:r>
        <w:rPr>
          <w:b/>
        </w:rPr>
        <w:t xml:space="preserve">Surety bond business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91.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