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Intent</w:t>
      </w:r>
    </w:p>
    <w:p>
      <w:pPr>
        <w:jc w:val="both"/>
        <w:spacing w:before="100" w:after="100"/>
        <w:ind w:start="360"/>
        <w:ind w:firstLine="360"/>
      </w:pPr>
      <w:r>
        <w:rPr/>
      </w:r>
      <w:r>
        <w:rPr/>
      </w:r>
      <w:r>
        <w:t xml:space="preserve">It is the intent of the Legislature to require the licensure and financial reporting of charitable organizations and professional solicitors and the bonding of professional solicitors.</w:t>
      </w:r>
      <w:r>
        <w:t xml:space="preserve">  </w:t>
      </w:r>
      <w:r xmlns:wp="http://schemas.openxmlformats.org/drawingml/2010/wordprocessingDrawing" xmlns:w15="http://schemas.microsoft.com/office/word/2012/wordml">
        <w:rPr>
          <w:rFonts w:ascii="Arial" w:hAnsi="Arial" w:cs="Arial"/>
          <w:sz w:val="22"/>
          <w:szCs w:val="22"/>
        </w:rPr>
        <w:t xml:space="preserve">[PL 2013, c. 539,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1999, c. 386, §A1 (AMD). PL 2005, c. 497, §1 (AMD). PL 2007, c. 402, Pt. A, §1 (AMD). PL 2013, c. 313, §1 (AMD). PL 2013, c. 539,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§5002.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§5002.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