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§5008-A. LICENSURE, LICENSE RENEWAL AND RECORDS KEPT BY PROFESSIONAL SOLICITORS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